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77AF4" w14:textId="3815EA26" w:rsidR="00BF7F46" w:rsidRPr="00BF7F46" w:rsidRDefault="003C4018" w:rsidP="00C02A9B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BF7F46">
        <w:rPr>
          <w:rFonts w:ascii="Arial" w:hAnsi="Arial" w:cs="Arial"/>
          <w:b/>
          <w:color w:val="000000"/>
        </w:rPr>
        <w:t>Fontosabb v</w:t>
      </w:r>
      <w:r w:rsidR="00C02A9B" w:rsidRPr="00BF7F46">
        <w:rPr>
          <w:rFonts w:ascii="Arial" w:hAnsi="Arial" w:cs="Arial"/>
          <w:b/>
          <w:color w:val="000000"/>
        </w:rPr>
        <w:t xml:space="preserve">áltozások a </w:t>
      </w:r>
      <w:r w:rsidR="00A06227" w:rsidRPr="00BF7F46">
        <w:rPr>
          <w:rFonts w:ascii="Arial" w:hAnsi="Arial" w:cs="Arial"/>
          <w:b/>
          <w:color w:val="000000"/>
        </w:rPr>
        <w:t>202</w:t>
      </w:r>
      <w:r w:rsidR="005C6C38">
        <w:rPr>
          <w:rFonts w:ascii="Arial" w:hAnsi="Arial" w:cs="Arial"/>
          <w:b/>
          <w:color w:val="000000"/>
        </w:rPr>
        <w:t>5</w:t>
      </w:r>
      <w:r w:rsidR="00A06227" w:rsidRPr="00BF7F46">
        <w:rPr>
          <w:rFonts w:ascii="Arial" w:hAnsi="Arial" w:cs="Arial"/>
          <w:b/>
          <w:color w:val="000000"/>
        </w:rPr>
        <w:t xml:space="preserve">. </w:t>
      </w:r>
      <w:r w:rsidR="005C6C38">
        <w:rPr>
          <w:rFonts w:ascii="Arial" w:hAnsi="Arial" w:cs="Arial"/>
          <w:b/>
          <w:color w:val="000000"/>
        </w:rPr>
        <w:t>január</w:t>
      </w:r>
      <w:r w:rsidR="00BF7F46" w:rsidRPr="00BF7F46">
        <w:rPr>
          <w:rFonts w:ascii="Arial" w:hAnsi="Arial" w:cs="Arial"/>
          <w:b/>
          <w:color w:val="000000"/>
        </w:rPr>
        <w:t xml:space="preserve"> 1-től</w:t>
      </w:r>
      <w:r w:rsidRPr="00BF7F46">
        <w:rPr>
          <w:rFonts w:ascii="Arial" w:hAnsi="Arial" w:cs="Arial"/>
          <w:b/>
          <w:color w:val="000000"/>
        </w:rPr>
        <w:t xml:space="preserve"> hatályos</w:t>
      </w:r>
      <w:r w:rsidR="00C02A9B" w:rsidRPr="00BF7F46">
        <w:rPr>
          <w:rFonts w:ascii="Arial" w:hAnsi="Arial" w:cs="Arial"/>
          <w:b/>
          <w:color w:val="000000"/>
        </w:rPr>
        <w:t xml:space="preserve"> </w:t>
      </w:r>
      <w:proofErr w:type="spellStart"/>
      <w:r w:rsidR="00C02A9B" w:rsidRPr="00BF7F46">
        <w:rPr>
          <w:rFonts w:ascii="Arial" w:hAnsi="Arial" w:cs="Arial"/>
          <w:b/>
          <w:color w:val="000000"/>
        </w:rPr>
        <w:t>Interreg</w:t>
      </w:r>
      <w:proofErr w:type="spellEnd"/>
      <w:r w:rsidR="00BF7F46" w:rsidRPr="00BF7F46">
        <w:rPr>
          <w:rFonts w:ascii="Arial" w:hAnsi="Arial" w:cs="Arial"/>
          <w:b/>
          <w:color w:val="000000"/>
        </w:rPr>
        <w:t xml:space="preserve"> VI-A IPA</w:t>
      </w:r>
      <w:r w:rsidR="00C02A9B" w:rsidRPr="00BF7F46">
        <w:rPr>
          <w:rFonts w:ascii="Arial" w:hAnsi="Arial" w:cs="Arial"/>
          <w:b/>
          <w:color w:val="000000"/>
        </w:rPr>
        <w:t xml:space="preserve"> Magyarország-Szerbia Program 20</w:t>
      </w:r>
      <w:r w:rsidR="00BF7F46" w:rsidRPr="00BF7F46">
        <w:rPr>
          <w:rFonts w:ascii="Arial" w:hAnsi="Arial" w:cs="Arial"/>
          <w:b/>
          <w:color w:val="000000"/>
        </w:rPr>
        <w:t>21</w:t>
      </w:r>
      <w:r w:rsidR="00C02A9B" w:rsidRPr="00BF7F46">
        <w:rPr>
          <w:rFonts w:ascii="Arial" w:hAnsi="Arial" w:cs="Arial"/>
          <w:b/>
          <w:color w:val="000000"/>
        </w:rPr>
        <w:t>-202</w:t>
      </w:r>
      <w:r w:rsidR="00BF7F46" w:rsidRPr="00BF7F46">
        <w:rPr>
          <w:rFonts w:ascii="Arial" w:hAnsi="Arial" w:cs="Arial"/>
          <w:b/>
          <w:color w:val="000000"/>
        </w:rPr>
        <w:t>7</w:t>
      </w:r>
    </w:p>
    <w:p w14:paraId="47947EA1" w14:textId="3DEC61C4" w:rsidR="00431759" w:rsidRPr="00BF7F46" w:rsidRDefault="00C02A9B" w:rsidP="00C02A9B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BF7F46">
        <w:rPr>
          <w:rFonts w:ascii="Arial" w:hAnsi="Arial" w:cs="Arial"/>
          <w:b/>
          <w:color w:val="000000"/>
        </w:rPr>
        <w:t>magyar kedve</w:t>
      </w:r>
      <w:r w:rsidR="00B15F8C" w:rsidRPr="00BF7F46">
        <w:rPr>
          <w:rFonts w:ascii="Arial" w:hAnsi="Arial" w:cs="Arial"/>
          <w:b/>
          <w:color w:val="000000"/>
        </w:rPr>
        <w:t>zményezettjei számára készített</w:t>
      </w:r>
      <w:r w:rsidR="00BF7F46" w:rsidRPr="00BF7F46">
        <w:rPr>
          <w:rFonts w:ascii="Arial" w:hAnsi="Arial" w:cs="Arial"/>
          <w:b/>
          <w:color w:val="000000"/>
        </w:rPr>
        <w:t xml:space="preserve"> </w:t>
      </w:r>
      <w:r w:rsidRPr="00BF7F46">
        <w:rPr>
          <w:rFonts w:ascii="Arial" w:hAnsi="Arial" w:cs="Arial"/>
          <w:b/>
          <w:color w:val="000000"/>
        </w:rPr>
        <w:t>elszámolási segédletben</w:t>
      </w:r>
    </w:p>
    <w:p w14:paraId="26CAD2FC" w14:textId="77777777" w:rsidR="00431759" w:rsidRPr="00BF7F46" w:rsidRDefault="00431759" w:rsidP="00AF70FC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051"/>
        <w:gridCol w:w="5882"/>
        <w:gridCol w:w="5812"/>
      </w:tblGrid>
      <w:tr w:rsidR="00C02A9B" w:rsidRPr="00BF7F46" w14:paraId="662E9A27" w14:textId="77777777" w:rsidTr="003A6378">
        <w:tc>
          <w:tcPr>
            <w:tcW w:w="2051" w:type="dxa"/>
            <w:vAlign w:val="center"/>
          </w:tcPr>
          <w:p w14:paraId="4E0CE7FC" w14:textId="77777777" w:rsidR="00C02A9B" w:rsidRPr="00BF7F46" w:rsidRDefault="00C02A9B" w:rsidP="003A6378">
            <w:pPr>
              <w:spacing w:before="120" w:after="12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BF7F46">
              <w:rPr>
                <w:rFonts w:ascii="Arial" w:hAnsi="Arial" w:cs="Arial"/>
                <w:b/>
                <w:sz w:val="20"/>
                <w:szCs w:val="20"/>
                <w:lang w:val="hu-HU"/>
              </w:rPr>
              <w:t>Fejezet</w:t>
            </w:r>
          </w:p>
        </w:tc>
        <w:tc>
          <w:tcPr>
            <w:tcW w:w="5882" w:type="dxa"/>
            <w:vAlign w:val="center"/>
          </w:tcPr>
          <w:p w14:paraId="602C919A" w14:textId="6B9603E5" w:rsidR="007422AB" w:rsidRPr="00BF7F46" w:rsidRDefault="005C6C38" w:rsidP="003A6378">
            <w:pPr>
              <w:spacing w:before="120" w:after="12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BF7F46">
              <w:rPr>
                <w:rFonts w:ascii="Arial" w:hAnsi="Arial" w:cs="Arial"/>
                <w:b/>
                <w:sz w:val="20"/>
                <w:szCs w:val="20"/>
                <w:lang w:val="hu-HU"/>
              </w:rPr>
              <w:t>2024. augusztus 1</w:t>
            </w:r>
            <w:r w:rsidR="007422AB" w:rsidRPr="00BF7F46">
              <w:rPr>
                <w:rFonts w:ascii="Arial" w:hAnsi="Arial" w:cs="Arial"/>
                <w:b/>
                <w:sz w:val="20"/>
                <w:szCs w:val="20"/>
                <w:lang w:val="hu-HU"/>
              </w:rPr>
              <w:t>-i kiadás</w:t>
            </w:r>
          </w:p>
        </w:tc>
        <w:tc>
          <w:tcPr>
            <w:tcW w:w="5812" w:type="dxa"/>
            <w:vAlign w:val="center"/>
          </w:tcPr>
          <w:p w14:paraId="28DA9FBB" w14:textId="372A04FF" w:rsidR="00C02A9B" w:rsidRPr="00BF7F46" w:rsidRDefault="007422AB" w:rsidP="0008001B">
            <w:pPr>
              <w:spacing w:before="120" w:after="12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hu-HU"/>
              </w:rPr>
            </w:pPr>
            <w:r w:rsidRPr="00BF7F46">
              <w:rPr>
                <w:rFonts w:ascii="Arial" w:hAnsi="Arial" w:cs="Arial"/>
                <w:b/>
                <w:sz w:val="20"/>
                <w:szCs w:val="20"/>
                <w:lang w:val="hu-HU"/>
              </w:rPr>
              <w:t>202</w:t>
            </w:r>
            <w:r w:rsidR="005C6C38">
              <w:rPr>
                <w:rFonts w:ascii="Arial" w:hAnsi="Arial" w:cs="Arial"/>
                <w:b/>
                <w:sz w:val="20"/>
                <w:szCs w:val="20"/>
                <w:lang w:val="hu-HU"/>
              </w:rPr>
              <w:t>5</w:t>
            </w:r>
            <w:r w:rsidRPr="00BF7F4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5C6C38">
              <w:rPr>
                <w:rFonts w:ascii="Arial" w:hAnsi="Arial" w:cs="Arial"/>
                <w:b/>
                <w:sz w:val="20"/>
                <w:szCs w:val="20"/>
                <w:lang w:val="hu-HU"/>
              </w:rPr>
              <w:t>január</w:t>
            </w:r>
            <w:r w:rsidRPr="00BF7F46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1-i kiadás</w:t>
            </w:r>
          </w:p>
        </w:tc>
      </w:tr>
      <w:tr w:rsidR="000B6945" w:rsidRPr="00BF7F46" w14:paraId="2BFDA098" w14:textId="77777777" w:rsidTr="003A6378">
        <w:tc>
          <w:tcPr>
            <w:tcW w:w="2051" w:type="dxa"/>
          </w:tcPr>
          <w:p w14:paraId="02B9E910" w14:textId="77777777" w:rsidR="000B6945" w:rsidRDefault="00C82227" w:rsidP="005C6C3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5C6C3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6C38">
              <w:rPr>
                <w:rFonts w:ascii="Arial" w:hAnsi="Arial" w:cs="Arial"/>
                <w:sz w:val="20"/>
                <w:szCs w:val="20"/>
              </w:rPr>
              <w:t>BESZERZÉSEK</w:t>
            </w:r>
          </w:p>
          <w:p w14:paraId="29592E95" w14:textId="75E74C58" w:rsidR="005C6C38" w:rsidRDefault="005C6C38" w:rsidP="005C6C3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Közös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rendelkezések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valamennyi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beszerzési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eljárás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esetén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4DCC67A" w14:textId="25F80512" w:rsidR="005C6C38" w:rsidRPr="00BF7F46" w:rsidRDefault="005C6C38" w:rsidP="005C6C3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bekezdés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(10.o.)</w:t>
            </w:r>
          </w:p>
        </w:tc>
        <w:tc>
          <w:tcPr>
            <w:tcW w:w="5882" w:type="dxa"/>
          </w:tcPr>
          <w:p w14:paraId="18B60012" w14:textId="5E4D365E" w:rsidR="00201FD2" w:rsidRPr="00BF7F46" w:rsidRDefault="005C6C38" w:rsidP="00201FD2">
            <w:pPr>
              <w:widowControl/>
              <w:autoSpaceDE/>
              <w:autoSpaceDN/>
              <w:adjustRightInd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jóváhagyott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beszerzési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igény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meglévő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keretmegállapodásból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elégíthető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ki,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központosított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közbeszerzési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eljárás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részének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ajánlatkérője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Kbt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szerinti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központi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beszerző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szerv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ajánlatkérő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köteles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dokumentált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formában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(pl.: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képernyőkép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mentése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mely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tanúsítvány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meglétét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központi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beszerző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szerv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erre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vonatkozó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nyilatkozata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meggyőzödni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arról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központi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beszerző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szerv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által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lefolytatott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eljárás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rendelkezik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-e a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Miniszterelnökség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(2024.01.01.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napját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követően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Közigazgatási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Területfejlesztési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Minisztérium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Közbeszerzési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Felügyeleti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Főosztálya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által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kiállított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zárótanúsítvánnyal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1DC50FD8" w14:textId="2877BF44" w:rsidR="000B6945" w:rsidRPr="002D5FDA" w:rsidRDefault="005C6C38" w:rsidP="00C82227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jóváhagyott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beszerzési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igény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meglévő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keretmegállapodásból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elégíthető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ki</w:t>
            </w:r>
            <w:r w:rsidRPr="00E11D6E">
              <w:rPr>
                <w:rFonts w:ascii="Arial" w:hAnsi="Arial" w:cs="Arial"/>
                <w:color w:val="201F1E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E11D6E">
              <w:rPr>
                <w:rFonts w:ascii="Arial" w:hAnsi="Arial" w:cs="Arial"/>
                <w:color w:val="201F1E"/>
                <w:sz w:val="20"/>
                <w:szCs w:val="20"/>
                <w:bdr w:val="none" w:sz="0" w:space="0" w:color="auto" w:frame="1"/>
              </w:rPr>
              <w:t>és</w:t>
            </w:r>
            <w:proofErr w:type="spellEnd"/>
            <w:r w:rsidRPr="00E11D6E">
              <w:rPr>
                <w:rFonts w:ascii="Arial" w:hAnsi="Arial" w:cs="Arial"/>
                <w:color w:val="201F1E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E11D6E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központosított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közbeszerzési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eljárás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részének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ajánlatkérője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Kbt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szerinti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központi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beszerző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szerv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ajánlatkérő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köteles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dokumentált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formában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(pl.: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képernyőkép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mentése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mely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tanúsítvány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meglétét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központi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beszerző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szerv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erre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vonatkozó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nyilatkozata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meggyőzödni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arról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központi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beszerző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szerv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által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lefolytatott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eljárás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rendelkezik</w:t>
            </w:r>
            <w:proofErr w:type="spellEnd"/>
            <w:r w:rsidRPr="00E11D6E">
              <w:rPr>
                <w:rFonts w:ascii="Arial" w:hAnsi="Arial" w:cs="Arial"/>
                <w:sz w:val="20"/>
                <w:szCs w:val="20"/>
              </w:rPr>
              <w:t xml:space="preserve">-e </w:t>
            </w:r>
            <w:proofErr w:type="spellStart"/>
            <w:r w:rsidRPr="00E11D6E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európai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uniós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támogatásból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megvalósuló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közbeszerzési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eljárások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ellenőrzésének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eredményeképp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kiállított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támogató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tartalmú</w:t>
            </w:r>
            <w:proofErr w:type="spellEnd"/>
            <w:r w:rsidRPr="005C6C38" w:rsidDel="00580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zárótanúsítvánnyal</w:t>
            </w:r>
            <w:proofErr w:type="spellEnd"/>
            <w:r w:rsidRPr="005C6C3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471C08" w:rsidRPr="00BF7F46" w14:paraId="6E943185" w14:textId="77777777" w:rsidTr="003A6378">
        <w:tc>
          <w:tcPr>
            <w:tcW w:w="2051" w:type="dxa"/>
          </w:tcPr>
          <w:p w14:paraId="65EE4D32" w14:textId="77777777" w:rsidR="005C6C38" w:rsidRDefault="005C6C38" w:rsidP="005C6C3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 BESZERZÉSEK</w:t>
            </w:r>
          </w:p>
          <w:p w14:paraId="68D5F787" w14:textId="503D9AFC" w:rsidR="005C6C38" w:rsidRDefault="005C6C38" w:rsidP="005C6C38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Közbeszerzési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értékhatár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alatti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</w:rPr>
              <w:t>beszerzések</w:t>
            </w:r>
            <w:proofErr w:type="spellEnd"/>
          </w:p>
          <w:p w14:paraId="69153A89" w14:textId="40E1A831" w:rsidR="002F5A69" w:rsidRPr="00BF7F46" w:rsidRDefault="005C6C38" w:rsidP="00C82227">
            <w:pPr>
              <w:spacing w:after="1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>A nettó 10 000 eurót elérő vagy meghaladó beszerzés</w:t>
            </w:r>
          </w:p>
        </w:tc>
        <w:tc>
          <w:tcPr>
            <w:tcW w:w="5882" w:type="dxa"/>
          </w:tcPr>
          <w:p w14:paraId="6E737F25" w14:textId="4F73C09B" w:rsidR="00C82227" w:rsidRPr="00C82227" w:rsidRDefault="005C6C38" w:rsidP="00C82227">
            <w:pPr>
              <w:widowControl/>
              <w:autoSpaceDE/>
              <w:autoSpaceDN/>
              <w:adjustRightInd/>
              <w:ind w:left="33"/>
              <w:contextualSpacing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A nettó 10 000 eurót elérő vagy meghaladó beszerzés esetében az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>Eligibility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 of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>Expenditures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 című dokumentum által meghatározott vonatkozó eljárásrend alkalmazandó.  </w:t>
            </w:r>
            <w:r w:rsidRPr="005C6C38">
              <w:rPr>
                <w:rFonts w:ascii="Arial" w:hAnsi="Arial" w:cs="Arial"/>
                <w:strike/>
                <w:sz w:val="20"/>
                <w:szCs w:val="20"/>
                <w:lang w:val="hu-HU"/>
              </w:rPr>
              <w:t xml:space="preserve">A szerződést megalapozó döntés minimum 3, egymástól és a hazai partnertől független ajánlat alapján hozható meg, és a Kbt. 9. § (1) bekezdés </w:t>
            </w:r>
            <w:proofErr w:type="gramStart"/>
            <w:r w:rsidRPr="005C6C38">
              <w:rPr>
                <w:rFonts w:ascii="Arial" w:hAnsi="Arial" w:cs="Arial"/>
                <w:strike/>
                <w:sz w:val="20"/>
                <w:szCs w:val="20"/>
                <w:lang w:val="hu-HU"/>
              </w:rPr>
              <w:t>h)-</w:t>
            </w:r>
            <w:proofErr w:type="gramEnd"/>
            <w:r w:rsidRPr="005C6C38">
              <w:rPr>
                <w:rFonts w:ascii="Arial" w:hAnsi="Arial" w:cs="Arial"/>
                <w:strike/>
                <w:sz w:val="20"/>
                <w:szCs w:val="20"/>
                <w:lang w:val="hu-HU"/>
              </w:rPr>
              <w:t xml:space="preserve">i) pontja szerint in-house szervezetnek minősülő ajánlattevő kivételével  csak független ajánlattevővel köthető szerződés. In-house szervezettel történő szerződéskötés esetén a minimum </w:t>
            </w:r>
            <w:proofErr w:type="gramStart"/>
            <w:r w:rsidRPr="005C6C38">
              <w:rPr>
                <w:rFonts w:ascii="Arial" w:hAnsi="Arial" w:cs="Arial"/>
                <w:strike/>
                <w:sz w:val="20"/>
                <w:szCs w:val="20"/>
                <w:lang w:val="hu-HU"/>
              </w:rPr>
              <w:t>3,  a</w:t>
            </w:r>
            <w:proofErr w:type="gramEnd"/>
            <w:r w:rsidRPr="005C6C38">
              <w:rPr>
                <w:rFonts w:ascii="Arial" w:hAnsi="Arial" w:cs="Arial"/>
                <w:strike/>
                <w:sz w:val="20"/>
                <w:szCs w:val="20"/>
                <w:lang w:val="hu-HU"/>
              </w:rPr>
              <w:t xml:space="preserve"> beszerzési útmutató rendelkezéseinek megfelelő ajánlatnak az in-house szervezet ajánlatán felül kell rendelkezésre állnia.</w:t>
            </w:r>
          </w:p>
        </w:tc>
        <w:tc>
          <w:tcPr>
            <w:tcW w:w="5812" w:type="dxa"/>
          </w:tcPr>
          <w:p w14:paraId="13888B23" w14:textId="4375156B" w:rsidR="00C82227" w:rsidRDefault="005C6C38" w:rsidP="005C6C38">
            <w:pPr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</w:pPr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A nettó 10 000 eurót elérő vagy meghaladó beszerzés esetében az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>Eligibility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 of </w:t>
            </w:r>
            <w:proofErr w:type="spellStart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>Expenditures</w:t>
            </w:r>
            <w:proofErr w:type="spellEnd"/>
            <w:r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 című dokumentum által meghatározott vonatkozó eljárásrend alkalmazandó </w:t>
            </w:r>
            <w:r w:rsidRPr="005C6C38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azzal a kiegészítéssel, hogy a szerződést megalapozó döntéshez szükséges a beszerzési útmutató rendelkezéseinek megfelelő minimum 3, érvényes, összehasonlítható, azonos ajánlattételi határidőre vonatkozó, összegében egyértelmű, egymástól és a hazai partnertől független, írásos ajánlat</w:t>
            </w:r>
            <w:r w:rsidR="00A42071" w:rsidRPr="00A4207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hu-HU"/>
              </w:rPr>
              <w:t>1</w:t>
            </w:r>
            <w:r w:rsidRPr="005C6C38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 xml:space="preserve"> rendelkezésre állása. A Kbt. 9. § (1) bekezdés </w:t>
            </w:r>
            <w:proofErr w:type="gramStart"/>
            <w:r w:rsidRPr="005C6C38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h)-</w:t>
            </w:r>
            <w:proofErr w:type="gramEnd"/>
            <w:r w:rsidRPr="005C6C38">
              <w:rPr>
                <w:rFonts w:ascii="Arial" w:hAnsi="Arial" w:cs="Arial"/>
                <w:b/>
                <w:bCs/>
                <w:sz w:val="20"/>
                <w:szCs w:val="20"/>
                <w:lang w:val="hu-HU"/>
              </w:rPr>
              <w:t>i) pontja szerint in-house szervezetnek minősülő ajánlattevő kivételével  csak független ajánlattevővel köthető szerződés. In-house szervezettel történő szerződéskötés esetén a minimum 3, az ebben a bekezdésben leírt rendelkezéseknek megfelelő ajánlatnak az in-house szervezet ajánlatán felül kell rendelkezésre állnia.</w:t>
            </w:r>
          </w:p>
          <w:p w14:paraId="5FE1A56D" w14:textId="5155C6A4" w:rsidR="005C6C38" w:rsidRPr="005C6C38" w:rsidRDefault="00A42071" w:rsidP="005C6C38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42071">
              <w:rPr>
                <w:rFonts w:ascii="Arial" w:hAnsi="Arial" w:cs="Arial"/>
                <w:sz w:val="20"/>
                <w:szCs w:val="20"/>
                <w:vertAlign w:val="superscript"/>
                <w:lang w:val="hu-HU"/>
              </w:rPr>
              <w:t>1</w:t>
            </w:r>
            <w:r w:rsidR="005C6C38" w:rsidRPr="005C6C38">
              <w:rPr>
                <w:rFonts w:ascii="Arial" w:hAnsi="Arial" w:cs="Arial"/>
                <w:sz w:val="20"/>
                <w:szCs w:val="20"/>
                <w:lang w:val="hu-HU"/>
              </w:rPr>
              <w:t xml:space="preserve"> ajánlatnak minősül pl.: benyújtott árajánlat; kinyomtatott és dátumozott árkatalógus, hivatalos </w:t>
            </w:r>
            <w:proofErr w:type="spellStart"/>
            <w:r w:rsidR="005C6C38" w:rsidRPr="005C6C38">
              <w:rPr>
                <w:rFonts w:ascii="Arial" w:hAnsi="Arial" w:cs="Arial"/>
                <w:sz w:val="20"/>
                <w:szCs w:val="20"/>
                <w:lang w:val="hu-HU"/>
              </w:rPr>
              <w:t>árlista</w:t>
            </w:r>
            <w:proofErr w:type="spellEnd"/>
          </w:p>
        </w:tc>
      </w:tr>
    </w:tbl>
    <w:p w14:paraId="775D9082" w14:textId="77777777" w:rsidR="00A42071" w:rsidRDefault="00A42071">
      <w:r>
        <w:br w:type="page"/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051"/>
        <w:gridCol w:w="5882"/>
        <w:gridCol w:w="5812"/>
      </w:tblGrid>
      <w:tr w:rsidR="00BB4EB1" w:rsidRPr="00BF7F46" w14:paraId="34DBEEE1" w14:textId="77777777" w:rsidTr="003A6378">
        <w:tc>
          <w:tcPr>
            <w:tcW w:w="2051" w:type="dxa"/>
          </w:tcPr>
          <w:p w14:paraId="0A0F0A41" w14:textId="30CB03CD" w:rsidR="00201FD2" w:rsidRDefault="00A42071" w:rsidP="00532DB6">
            <w:pPr>
              <w:spacing w:after="1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>3.</w:t>
            </w: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</w:t>
            </w:r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>KÖLTSÉGTÍPUSOK ÉS AZ ELSZÁMOLÁSUKHOZ SZÜKSÉGES DOKUMENTUMOK</w:t>
            </w:r>
          </w:p>
          <w:p w14:paraId="07433A22" w14:textId="77777777" w:rsidR="00A42071" w:rsidRDefault="00A42071" w:rsidP="00532DB6">
            <w:pPr>
              <w:spacing w:after="1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>3.1 Személyi költségek (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>Staff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 xml:space="preserve"> cost)</w:t>
            </w:r>
          </w:p>
          <w:p w14:paraId="15EB8BFC" w14:textId="77777777" w:rsidR="00A42071" w:rsidRDefault="00A42071" w:rsidP="00532DB6">
            <w:pPr>
              <w:spacing w:after="1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>3.1.2. „B” típusú költségvetés: A valós költség alapú személyi jellegű költségek elszámolásának szabályai:</w:t>
            </w:r>
          </w:p>
          <w:p w14:paraId="0A1C7E0D" w14:textId="775FEE0E" w:rsidR="00A42071" w:rsidRPr="00C82227" w:rsidRDefault="00A42071" w:rsidP="00A42071">
            <w:pPr>
              <w:spacing w:after="160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5882" w:type="dxa"/>
          </w:tcPr>
          <w:p w14:paraId="6A2EE01A" w14:textId="77777777" w:rsidR="00BB4EB1" w:rsidRDefault="00A42071" w:rsidP="00A42071">
            <w:pPr>
              <w:spacing w:after="16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A42071">
              <w:rPr>
                <w:rFonts w:ascii="Arial" w:hAnsi="Arial" w:cs="Arial"/>
                <w:sz w:val="20"/>
                <w:szCs w:val="20"/>
                <w:lang w:val="hu-HU"/>
              </w:rPr>
              <w:t>A célfeladat kiírás az alábbi feltételek együttes megléte mellett számolható el a programban:</w:t>
            </w:r>
          </w:p>
          <w:p w14:paraId="254AA434" w14:textId="77777777" w:rsidR="00A42071" w:rsidRDefault="00A42071" w:rsidP="00A963E8">
            <w:pPr>
              <w:pStyle w:val="Listaszerbekezds"/>
              <w:numPr>
                <w:ilvl w:val="0"/>
                <w:numId w:val="33"/>
              </w:numPr>
              <w:spacing w:after="60"/>
              <w:ind w:left="251" w:hanging="218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kiírás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elszámolásának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alapfeltétele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arról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szóló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munkaadó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munkavállaló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által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aláírt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megállapodásban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szerepeljenek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tartalmi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elemek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4C85374" w14:textId="77777777" w:rsidR="00A42071" w:rsidRDefault="00A42071" w:rsidP="00A963E8">
            <w:pPr>
              <w:pStyle w:val="Listaszerbekezds"/>
              <w:numPr>
                <w:ilvl w:val="0"/>
                <w:numId w:val="34"/>
              </w:numPr>
              <w:spacing w:after="60"/>
              <w:ind w:left="535" w:hanging="219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azonosító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száma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címe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/</w:t>
            </w:r>
            <w:proofErr w:type="gramStart"/>
            <w:r w:rsidRPr="00A42071">
              <w:rPr>
                <w:rFonts w:ascii="Arial" w:hAnsi="Arial" w:cs="Arial"/>
                <w:sz w:val="20"/>
                <w:szCs w:val="20"/>
              </w:rPr>
              <w:t>ACRONYM;</w:t>
            </w:r>
            <w:proofErr w:type="gramEnd"/>
          </w:p>
          <w:p w14:paraId="07CF4FB5" w14:textId="77777777" w:rsidR="00A42071" w:rsidRDefault="00A42071" w:rsidP="00A963E8">
            <w:pPr>
              <w:pStyle w:val="Listaszerbekezds"/>
              <w:numPr>
                <w:ilvl w:val="0"/>
                <w:numId w:val="34"/>
              </w:numPr>
              <w:spacing w:after="60"/>
              <w:ind w:left="535" w:hanging="219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keretében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elvégzendő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feladatok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pontos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tárgya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42071">
              <w:rPr>
                <w:rFonts w:ascii="Arial" w:hAnsi="Arial" w:cs="Arial"/>
                <w:sz w:val="20"/>
                <w:szCs w:val="20"/>
              </w:rPr>
              <w:t>tartalma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</w:p>
          <w:p w14:paraId="1F54AFEE" w14:textId="396C38E4" w:rsidR="00A42071" w:rsidRPr="00A42071" w:rsidRDefault="00A42071" w:rsidP="00A963E8">
            <w:pPr>
              <w:pStyle w:val="Listaszerbekezds"/>
              <w:numPr>
                <w:ilvl w:val="0"/>
                <w:numId w:val="34"/>
              </w:numPr>
              <w:spacing w:after="60"/>
              <w:ind w:left="535" w:hanging="219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kiírás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időtartama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5E5C81" w14:textId="77777777" w:rsidR="00A42071" w:rsidRDefault="00A42071" w:rsidP="00A963E8">
            <w:pPr>
              <w:pStyle w:val="Listaszerbekezds"/>
              <w:numPr>
                <w:ilvl w:val="0"/>
                <w:numId w:val="33"/>
              </w:numPr>
              <w:spacing w:after="60"/>
              <w:ind w:left="251" w:hanging="21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tartalmi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elemek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bármelyikének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hiánya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el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nem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számolhatóságát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vonja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maga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után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4A2CB9A" w14:textId="77777777" w:rsidR="00A42071" w:rsidRPr="00A42071" w:rsidRDefault="00A42071" w:rsidP="00A963E8">
            <w:pPr>
              <w:pStyle w:val="Listaszerbekezds"/>
              <w:numPr>
                <w:ilvl w:val="0"/>
                <w:numId w:val="33"/>
              </w:numPr>
              <w:spacing w:after="60"/>
              <w:ind w:left="251" w:hanging="21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megállapításáról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szóló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iratban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továbbá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célszerű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megjelölni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végrehajtásának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kezdő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időpontját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határidőt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teljesítésigazoló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személyt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teljesítés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esetleges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speciális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feltételeit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(pl. x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oldalas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szakmai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beszámoló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stb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.),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illetőleg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azokat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kritériumokat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melyek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megállapításra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kerül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teljesülése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0E9731" w14:textId="77777777" w:rsidR="00A42071" w:rsidRPr="00A42071" w:rsidRDefault="00A42071" w:rsidP="00A963E8">
            <w:pPr>
              <w:pStyle w:val="Listaszerbekezds"/>
              <w:numPr>
                <w:ilvl w:val="0"/>
                <w:numId w:val="33"/>
              </w:numPr>
              <w:spacing w:after="60"/>
              <w:ind w:left="251" w:hanging="21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elszámolása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esetén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benyújtandó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dokumentumok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listája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megegyezik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Eligibility of Expenditures c.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dokumentum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4.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fejezetében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leírt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munkaidő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elszámolása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esetén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felsorolt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dokumentumokkal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kiegészítve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kiírt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elvégzését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igazoló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teljesítésigazolással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mely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tartalmazza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igazolt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időszakban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elvégzett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feladatok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listáját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1C73C5" w14:textId="3EC170BB" w:rsidR="00A42071" w:rsidRPr="00A963E8" w:rsidRDefault="00A42071" w:rsidP="00A963E8">
            <w:pPr>
              <w:pStyle w:val="Listaszerbekezds"/>
              <w:numPr>
                <w:ilvl w:val="0"/>
                <w:numId w:val="33"/>
              </w:numPr>
              <w:spacing w:after="60"/>
              <w:ind w:left="251" w:hanging="218"/>
              <w:rPr>
                <w:rFonts w:ascii="Arial" w:hAnsi="Arial" w:cs="Arial"/>
                <w:strike/>
                <w:sz w:val="20"/>
                <w:szCs w:val="20"/>
                <w:u w:val="single"/>
              </w:rPr>
            </w:pPr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A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célfeladat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kiírás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dátuma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nem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lehet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későbbi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a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kifizetéshez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készített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teljesítésigazolás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dátumánál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,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függetlenül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attól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,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hogy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a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feladatot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akár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korábban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már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szóban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közölték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az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proofErr w:type="spellStart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érintettel</w:t>
            </w:r>
            <w:proofErr w:type="spellEnd"/>
            <w:r w:rsidRPr="00A963E8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14:paraId="451A2BE9" w14:textId="77777777" w:rsidR="00C82227" w:rsidRDefault="00A42071" w:rsidP="00C822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felsorolás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változott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4.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ponttól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EDC874" w14:textId="77777777" w:rsidR="00A42071" w:rsidRDefault="00A42071" w:rsidP="00C822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BDE7BA" w14:textId="77777777" w:rsidR="00A42071" w:rsidRDefault="00A42071" w:rsidP="00A42071">
            <w:pPr>
              <w:pStyle w:val="Listaszerbekezds"/>
              <w:numPr>
                <w:ilvl w:val="0"/>
                <w:numId w:val="31"/>
              </w:numPr>
              <w:spacing w:before="160"/>
              <w:ind w:left="181" w:hanging="215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kiírás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elszámolásának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alapfeltétele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arról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42071">
              <w:rPr>
                <w:rFonts w:ascii="Arial" w:hAnsi="Arial" w:cs="Arial"/>
                <w:sz w:val="20"/>
                <w:szCs w:val="20"/>
              </w:rPr>
              <w:t>szóló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megállapodásban</w:t>
            </w:r>
            <w:proofErr w:type="spellEnd"/>
            <w:proofErr w:type="gram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szerepeljenek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tartalmi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elemek:</w:t>
            </w:r>
            <w:proofErr w:type="spellEnd"/>
          </w:p>
          <w:p w14:paraId="716B43AD" w14:textId="77777777" w:rsidR="00A42071" w:rsidRDefault="00A42071" w:rsidP="00A42071">
            <w:pPr>
              <w:pStyle w:val="Listaszerbekezds"/>
              <w:numPr>
                <w:ilvl w:val="0"/>
                <w:numId w:val="32"/>
              </w:numPr>
              <w:ind w:left="466" w:hanging="218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azonosító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száma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címe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proofErr w:type="gramStart"/>
            <w:r w:rsidRPr="00A42071">
              <w:rPr>
                <w:rFonts w:ascii="Arial" w:hAnsi="Arial" w:cs="Arial"/>
                <w:sz w:val="20"/>
                <w:szCs w:val="20"/>
              </w:rPr>
              <w:t>ACRONYM;</w:t>
            </w:r>
            <w:proofErr w:type="spellEnd"/>
            <w:proofErr w:type="gramEnd"/>
          </w:p>
          <w:p w14:paraId="2A783CBC" w14:textId="77777777" w:rsidR="00A42071" w:rsidRDefault="00A42071" w:rsidP="00A42071">
            <w:pPr>
              <w:pStyle w:val="Listaszerbekezds"/>
              <w:numPr>
                <w:ilvl w:val="0"/>
                <w:numId w:val="32"/>
              </w:numPr>
              <w:ind w:left="466" w:hanging="218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keretében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elvégzendő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feladatok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pontos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tárgya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42071">
              <w:rPr>
                <w:rFonts w:ascii="Arial" w:hAnsi="Arial" w:cs="Arial"/>
                <w:sz w:val="20"/>
                <w:szCs w:val="20"/>
              </w:rPr>
              <w:t>tartalma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;</w:t>
            </w:r>
            <w:proofErr w:type="gramEnd"/>
          </w:p>
          <w:p w14:paraId="5218AB77" w14:textId="17CF2C75" w:rsidR="00A42071" w:rsidRDefault="00A42071" w:rsidP="00A42071">
            <w:pPr>
              <w:pStyle w:val="Listaszerbekezds"/>
              <w:numPr>
                <w:ilvl w:val="0"/>
                <w:numId w:val="32"/>
              </w:numPr>
              <w:ind w:left="466" w:hanging="218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teljesítésének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határideje</w:t>
            </w:r>
            <w:proofErr w:type="spellEnd"/>
          </w:p>
          <w:p w14:paraId="08303A06" w14:textId="094C6057" w:rsidR="00A42071" w:rsidRPr="00A42071" w:rsidRDefault="00A42071" w:rsidP="00A42071">
            <w:pPr>
              <w:pStyle w:val="Listaszerbekezds"/>
              <w:numPr>
                <w:ilvl w:val="0"/>
                <w:numId w:val="32"/>
              </w:numPr>
              <w:ind w:left="466" w:hanging="218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kifizetendő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céljuttatás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összege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2DF26BD1" w14:textId="77777777" w:rsidR="00A42071" w:rsidRDefault="00A42071" w:rsidP="00A42071">
            <w:pPr>
              <w:pStyle w:val="Listaszerbekezds"/>
              <w:numPr>
                <w:ilvl w:val="0"/>
                <w:numId w:val="31"/>
              </w:numPr>
              <w:ind w:left="183" w:hanging="21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tartalmi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elemek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bármelyikének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hiánya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el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nem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számolhatóságát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vonja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maga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után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42A20A25" w14:textId="77777777" w:rsidR="00A42071" w:rsidRDefault="00A42071" w:rsidP="00A42071">
            <w:pPr>
              <w:pStyle w:val="Listaszerbekezds"/>
              <w:numPr>
                <w:ilvl w:val="0"/>
                <w:numId w:val="31"/>
              </w:numPr>
              <w:ind w:left="183" w:hanging="218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megállapításáról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szóló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iratban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továbbá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célszerű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megjelölni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végrehajtásának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teljesítését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igazoló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személyt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teljesítés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esetleges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speciális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feltételeit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(pl. x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oldalas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szakmai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beszámoló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stb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.),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illetőleg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azokat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kritériumokat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melyek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megállapításra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kerül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teljesülése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2D8B0D" w14:textId="77777777" w:rsidR="00A42071" w:rsidRDefault="00A42071" w:rsidP="00A42071">
            <w:pPr>
              <w:pStyle w:val="Listaszerbekezds"/>
              <w:numPr>
                <w:ilvl w:val="0"/>
                <w:numId w:val="31"/>
              </w:numPr>
              <w:ind w:left="183" w:hanging="218"/>
              <w:rPr>
                <w:rFonts w:ascii="Arial" w:hAnsi="Arial" w:cs="Arial"/>
                <w:sz w:val="20"/>
                <w:szCs w:val="20"/>
              </w:rPr>
            </w:pPr>
            <w:r w:rsidRPr="00A42071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elszámolása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esetén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benyújtandó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dokumentumok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listája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megegyezik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Eligibility of Expenditures c.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dokumentum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4.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fejezetében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leírt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munkaidő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elszámolása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esetén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felsorolt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dokumentumokkal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kiegészítve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kiírt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elvégzését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igazoló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teljesítésigazolással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mely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tartalmazza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igazolt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időszakban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elvégzett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feladatok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sz w:val="20"/>
                <w:szCs w:val="20"/>
              </w:rPr>
              <w:t>listáját</w:t>
            </w:r>
            <w:proofErr w:type="spellEnd"/>
            <w:r w:rsidRPr="00A4207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920524" w14:textId="75A31A1C" w:rsidR="00A42071" w:rsidRPr="00A42071" w:rsidRDefault="00A42071" w:rsidP="00A42071">
            <w:pPr>
              <w:pStyle w:val="Listaszerbekezds"/>
              <w:numPr>
                <w:ilvl w:val="0"/>
                <w:numId w:val="31"/>
              </w:numPr>
              <w:ind w:left="183" w:hanging="218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elszámolhatóságának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további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feltétele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írásba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foglalása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amelynek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dátuma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nem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lehet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későbbi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mint 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megállapításának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napja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. 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keretében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elszámolni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kívánt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céljuttatás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célfeladat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írásba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foglalásának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dátumától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kezdve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számolható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el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projekt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terhére</w:t>
            </w:r>
            <w:proofErr w:type="spellEnd"/>
            <w:r w:rsidRPr="00A420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14:paraId="519253BB" w14:textId="4A034C96" w:rsidR="002E17B9" w:rsidRDefault="002E17B9"/>
    <w:sectPr w:rsidR="002E17B9" w:rsidSect="00C02A9B">
      <w:headerReference w:type="default" r:id="rId7"/>
      <w:footerReference w:type="default" r:id="rId8"/>
      <w:pgSz w:w="16838" w:h="11906" w:orient="landscape"/>
      <w:pgMar w:top="1273" w:right="1339" w:bottom="1273" w:left="1340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ED391" w14:textId="77777777" w:rsidR="00E55C07" w:rsidRDefault="00E55C07" w:rsidP="00060A6A">
      <w:r>
        <w:separator/>
      </w:r>
    </w:p>
  </w:endnote>
  <w:endnote w:type="continuationSeparator" w:id="0">
    <w:p w14:paraId="341EFA16" w14:textId="77777777" w:rsidR="00E55C07" w:rsidRDefault="00E55C07" w:rsidP="0006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8B5D4" w14:textId="77777777" w:rsidR="00DD4A30" w:rsidRPr="002E17B9" w:rsidRDefault="00DD4A30" w:rsidP="002E17B9">
    <w:pPr>
      <w:pStyle w:val="llb"/>
      <w:framePr w:wrap="none" w:vAnchor="text" w:hAnchor="page" w:x="15166" w:y="-619"/>
      <w:rPr>
        <w:rStyle w:val="Oldalszm"/>
        <w:rFonts w:ascii="Arial" w:hAnsi="Arial" w:cs="Arial"/>
        <w:sz w:val="20"/>
        <w:szCs w:val="20"/>
      </w:rPr>
    </w:pPr>
    <w:r w:rsidRPr="002E17B9">
      <w:rPr>
        <w:rStyle w:val="Oldalszm"/>
        <w:rFonts w:ascii="Arial" w:hAnsi="Arial" w:cs="Arial"/>
        <w:sz w:val="20"/>
        <w:szCs w:val="20"/>
      </w:rPr>
      <w:fldChar w:fldCharType="begin"/>
    </w:r>
    <w:r w:rsidRPr="002E17B9">
      <w:rPr>
        <w:rStyle w:val="Oldalszm"/>
        <w:rFonts w:ascii="Arial" w:hAnsi="Arial" w:cs="Arial"/>
        <w:sz w:val="20"/>
        <w:szCs w:val="20"/>
      </w:rPr>
      <w:instrText xml:space="preserve">PAGE  </w:instrText>
    </w:r>
    <w:r w:rsidRPr="002E17B9">
      <w:rPr>
        <w:rStyle w:val="Oldalszm"/>
        <w:rFonts w:ascii="Arial" w:hAnsi="Arial" w:cs="Arial"/>
        <w:sz w:val="20"/>
        <w:szCs w:val="20"/>
      </w:rPr>
      <w:fldChar w:fldCharType="separate"/>
    </w:r>
    <w:r w:rsidR="00A06227" w:rsidRPr="002E17B9">
      <w:rPr>
        <w:rStyle w:val="Oldalszm"/>
        <w:rFonts w:ascii="Arial" w:hAnsi="Arial" w:cs="Arial"/>
        <w:noProof/>
        <w:sz w:val="20"/>
        <w:szCs w:val="20"/>
      </w:rPr>
      <w:t>3</w:t>
    </w:r>
    <w:r w:rsidRPr="002E17B9">
      <w:rPr>
        <w:rStyle w:val="Oldalszm"/>
        <w:rFonts w:ascii="Arial" w:hAnsi="Arial" w:cs="Arial"/>
        <w:sz w:val="20"/>
        <w:szCs w:val="20"/>
      </w:rPr>
      <w:fldChar w:fldCharType="end"/>
    </w:r>
  </w:p>
  <w:p w14:paraId="310452E5" w14:textId="0929ACF4" w:rsidR="00060A6A" w:rsidRDefault="007F3CDF" w:rsidP="007F3CDF">
    <w:pPr>
      <w:pStyle w:val="llb"/>
      <w:ind w:left="-1418"/>
      <w:jc w:val="both"/>
    </w:pPr>
    <w:r>
      <w:rPr>
        <w:noProof/>
        <w:lang w:eastAsia="hu-HU"/>
      </w:rPr>
      <w:ptab w:relativeTo="indent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2DE89" w14:textId="77777777" w:rsidR="00E55C07" w:rsidRDefault="00E55C07" w:rsidP="00060A6A">
      <w:r>
        <w:separator/>
      </w:r>
    </w:p>
  </w:footnote>
  <w:footnote w:type="continuationSeparator" w:id="0">
    <w:p w14:paraId="75DDB1F6" w14:textId="77777777" w:rsidR="00E55C07" w:rsidRDefault="00E55C07" w:rsidP="00060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05903" w14:textId="25BC391E" w:rsidR="007F3CDF" w:rsidRDefault="00BF7F46" w:rsidP="00BF7F46">
    <w:pPr>
      <w:pStyle w:val="lfej"/>
    </w:pPr>
    <w:r w:rsidRPr="00B659DA">
      <w:rPr>
        <w:rFonts w:cs="Arial"/>
        <w:b/>
        <w:bCs/>
        <w:noProof/>
        <w:color w:val="000000"/>
        <w:lang w:eastAsia="hu-HU"/>
      </w:rPr>
      <w:drawing>
        <wp:anchor distT="0" distB="0" distL="114300" distR="114300" simplePos="0" relativeHeight="251659264" behindDoc="1" locked="0" layoutInCell="1" allowOverlap="1" wp14:anchorId="05C06FE1" wp14:editId="38FEE5A2">
          <wp:simplePos x="0" y="0"/>
          <wp:positionH relativeFrom="column">
            <wp:posOffset>-355600</wp:posOffset>
          </wp:positionH>
          <wp:positionV relativeFrom="paragraph">
            <wp:posOffset>-72390</wp:posOffset>
          </wp:positionV>
          <wp:extent cx="2228850" cy="505460"/>
          <wp:effectExtent l="0" t="0" r="0" b="8890"/>
          <wp:wrapTopAndBottom/>
          <wp:docPr id="2" name="Kép 2" descr="Interreg_IPA_CBC_Hu+Srb_EN_RGB_TEST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terreg_IPA_CBC_Hu+Srb_EN_RGB_TEST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A24EE"/>
    <w:multiLevelType w:val="hybridMultilevel"/>
    <w:tmpl w:val="CE96CF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D5FEF"/>
    <w:multiLevelType w:val="hybridMultilevel"/>
    <w:tmpl w:val="4DAC3EBA"/>
    <w:lvl w:ilvl="0" w:tplc="A5ECC2F8">
      <w:start w:val="1"/>
      <w:numFmt w:val="bullet"/>
      <w:lvlText w:val=""/>
      <w:lvlJc w:val="left"/>
      <w:pPr>
        <w:ind w:left="90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 w15:restartNumberingAfterBreak="0">
    <w:nsid w:val="0A9F2AD3"/>
    <w:multiLevelType w:val="hybridMultilevel"/>
    <w:tmpl w:val="BED8DA88"/>
    <w:lvl w:ilvl="0" w:tplc="A5ECC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D758C"/>
    <w:multiLevelType w:val="hybridMultilevel"/>
    <w:tmpl w:val="C0D40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B130D"/>
    <w:multiLevelType w:val="hybridMultilevel"/>
    <w:tmpl w:val="FC4C7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D48F0"/>
    <w:multiLevelType w:val="hybridMultilevel"/>
    <w:tmpl w:val="A7FACD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D7FD7"/>
    <w:multiLevelType w:val="hybridMultilevel"/>
    <w:tmpl w:val="651C4B0E"/>
    <w:lvl w:ilvl="0" w:tplc="A5ECC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366EC"/>
    <w:multiLevelType w:val="hybridMultilevel"/>
    <w:tmpl w:val="A372BA4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68F3"/>
    <w:multiLevelType w:val="hybridMultilevel"/>
    <w:tmpl w:val="69DE0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D6309"/>
    <w:multiLevelType w:val="hybridMultilevel"/>
    <w:tmpl w:val="3DEC154C"/>
    <w:lvl w:ilvl="0" w:tplc="451A6106">
      <w:start w:val="1"/>
      <w:numFmt w:val="lowerLetter"/>
      <w:lvlText w:val="%1."/>
      <w:lvlJc w:val="left"/>
      <w:pPr>
        <w:ind w:left="971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691" w:hanging="360"/>
      </w:pPr>
    </w:lvl>
    <w:lvl w:ilvl="2" w:tplc="040E001B" w:tentative="1">
      <w:start w:val="1"/>
      <w:numFmt w:val="lowerRoman"/>
      <w:lvlText w:val="%3."/>
      <w:lvlJc w:val="right"/>
      <w:pPr>
        <w:ind w:left="2411" w:hanging="180"/>
      </w:pPr>
    </w:lvl>
    <w:lvl w:ilvl="3" w:tplc="040E000F" w:tentative="1">
      <w:start w:val="1"/>
      <w:numFmt w:val="decimal"/>
      <w:lvlText w:val="%4."/>
      <w:lvlJc w:val="left"/>
      <w:pPr>
        <w:ind w:left="3131" w:hanging="360"/>
      </w:pPr>
    </w:lvl>
    <w:lvl w:ilvl="4" w:tplc="040E0019" w:tentative="1">
      <w:start w:val="1"/>
      <w:numFmt w:val="lowerLetter"/>
      <w:lvlText w:val="%5."/>
      <w:lvlJc w:val="left"/>
      <w:pPr>
        <w:ind w:left="3851" w:hanging="360"/>
      </w:pPr>
    </w:lvl>
    <w:lvl w:ilvl="5" w:tplc="040E001B" w:tentative="1">
      <w:start w:val="1"/>
      <w:numFmt w:val="lowerRoman"/>
      <w:lvlText w:val="%6."/>
      <w:lvlJc w:val="right"/>
      <w:pPr>
        <w:ind w:left="4571" w:hanging="180"/>
      </w:pPr>
    </w:lvl>
    <w:lvl w:ilvl="6" w:tplc="040E000F" w:tentative="1">
      <w:start w:val="1"/>
      <w:numFmt w:val="decimal"/>
      <w:lvlText w:val="%7."/>
      <w:lvlJc w:val="left"/>
      <w:pPr>
        <w:ind w:left="5291" w:hanging="360"/>
      </w:pPr>
    </w:lvl>
    <w:lvl w:ilvl="7" w:tplc="040E0019" w:tentative="1">
      <w:start w:val="1"/>
      <w:numFmt w:val="lowerLetter"/>
      <w:lvlText w:val="%8."/>
      <w:lvlJc w:val="left"/>
      <w:pPr>
        <w:ind w:left="6011" w:hanging="360"/>
      </w:pPr>
    </w:lvl>
    <w:lvl w:ilvl="8" w:tplc="040E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0" w15:restartNumberingAfterBreak="0">
    <w:nsid w:val="25835B45"/>
    <w:multiLevelType w:val="hybridMultilevel"/>
    <w:tmpl w:val="743EE3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5187B"/>
    <w:multiLevelType w:val="hybridMultilevel"/>
    <w:tmpl w:val="BCE8B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E26F8"/>
    <w:multiLevelType w:val="hybridMultilevel"/>
    <w:tmpl w:val="57F4A492"/>
    <w:lvl w:ilvl="0" w:tplc="040E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2F947632"/>
    <w:multiLevelType w:val="hybridMultilevel"/>
    <w:tmpl w:val="65DC2E06"/>
    <w:lvl w:ilvl="0" w:tplc="A5ECC2F8">
      <w:start w:val="1"/>
      <w:numFmt w:val="bullet"/>
      <w:lvlText w:val=""/>
      <w:lvlJc w:val="left"/>
      <w:pPr>
        <w:ind w:left="10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4" w15:restartNumberingAfterBreak="0">
    <w:nsid w:val="35BB7DC9"/>
    <w:multiLevelType w:val="hybridMultilevel"/>
    <w:tmpl w:val="12A46C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C2715"/>
    <w:multiLevelType w:val="hybridMultilevel"/>
    <w:tmpl w:val="993ACD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22811"/>
    <w:multiLevelType w:val="hybridMultilevel"/>
    <w:tmpl w:val="83E456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903B8"/>
    <w:multiLevelType w:val="hybridMultilevel"/>
    <w:tmpl w:val="F45614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32122"/>
    <w:multiLevelType w:val="hybridMultilevel"/>
    <w:tmpl w:val="84F8BA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C684F"/>
    <w:multiLevelType w:val="hybridMultilevel"/>
    <w:tmpl w:val="1868C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2020F"/>
    <w:multiLevelType w:val="hybridMultilevel"/>
    <w:tmpl w:val="3A28852C"/>
    <w:lvl w:ilvl="0" w:tplc="A5ECC2F8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21" w15:restartNumberingAfterBreak="0">
    <w:nsid w:val="475307C3"/>
    <w:multiLevelType w:val="hybridMultilevel"/>
    <w:tmpl w:val="81A295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53437"/>
    <w:multiLevelType w:val="hybridMultilevel"/>
    <w:tmpl w:val="C0D06546"/>
    <w:lvl w:ilvl="0" w:tplc="040E0003">
      <w:start w:val="1"/>
      <w:numFmt w:val="bullet"/>
      <w:lvlText w:val="o"/>
      <w:lvlJc w:val="left"/>
      <w:pPr>
        <w:ind w:left="1045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23" w15:restartNumberingAfterBreak="0">
    <w:nsid w:val="50447E73"/>
    <w:multiLevelType w:val="hybridMultilevel"/>
    <w:tmpl w:val="75769DB4"/>
    <w:lvl w:ilvl="0" w:tplc="4E64A10A">
      <w:start w:val="1"/>
      <w:numFmt w:val="lowerLetter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 w15:restartNumberingAfterBreak="0">
    <w:nsid w:val="59B07E6B"/>
    <w:multiLevelType w:val="hybridMultilevel"/>
    <w:tmpl w:val="46F458A6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D04B0"/>
    <w:multiLevelType w:val="hybridMultilevel"/>
    <w:tmpl w:val="E26AAF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F02F6"/>
    <w:multiLevelType w:val="hybridMultilevel"/>
    <w:tmpl w:val="8A206EB6"/>
    <w:lvl w:ilvl="0" w:tplc="8FDC7406">
      <w:start w:val="1"/>
      <w:numFmt w:val="lowerLetter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 w15:restartNumberingAfterBreak="0">
    <w:nsid w:val="67B26474"/>
    <w:multiLevelType w:val="hybridMultilevel"/>
    <w:tmpl w:val="03B8F8DC"/>
    <w:lvl w:ilvl="0" w:tplc="A5ECC2F8">
      <w:start w:val="1"/>
      <w:numFmt w:val="bullet"/>
      <w:lvlText w:val=""/>
      <w:lvlJc w:val="left"/>
      <w:pPr>
        <w:ind w:left="10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28" w15:restartNumberingAfterBreak="0">
    <w:nsid w:val="69313EFB"/>
    <w:multiLevelType w:val="hybridMultilevel"/>
    <w:tmpl w:val="81ECD4D6"/>
    <w:lvl w:ilvl="0" w:tplc="F5EAD2F4">
      <w:start w:val="2"/>
      <w:numFmt w:val="bullet"/>
      <w:lvlText w:val="–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A55FA"/>
    <w:multiLevelType w:val="hybridMultilevel"/>
    <w:tmpl w:val="2C8A00E0"/>
    <w:lvl w:ilvl="0" w:tplc="878809B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 w15:restartNumberingAfterBreak="0">
    <w:nsid w:val="6EE22C39"/>
    <w:multiLevelType w:val="hybridMultilevel"/>
    <w:tmpl w:val="F056CA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A6CE4"/>
    <w:multiLevelType w:val="hybridMultilevel"/>
    <w:tmpl w:val="E71246FC"/>
    <w:lvl w:ilvl="0" w:tplc="5192D506">
      <w:start w:val="1"/>
      <w:numFmt w:val="lowerLetter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73531A19"/>
    <w:multiLevelType w:val="hybridMultilevel"/>
    <w:tmpl w:val="9F6697CE"/>
    <w:lvl w:ilvl="0" w:tplc="3398AED4">
      <w:start w:val="2"/>
      <w:numFmt w:val="bullet"/>
      <w:lvlText w:val="-"/>
      <w:lvlJc w:val="left"/>
      <w:pPr>
        <w:ind w:left="495" w:hanging="360"/>
      </w:pPr>
      <w:rPr>
        <w:rFonts w:ascii="Open Sans" w:eastAsiaTheme="minorHAnsi" w:hAnsi="Open Sans" w:cs="Open Sans" w:hint="default"/>
      </w:rPr>
    </w:lvl>
    <w:lvl w:ilvl="1" w:tplc="040E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3" w15:restartNumberingAfterBreak="0">
    <w:nsid w:val="784C56F7"/>
    <w:multiLevelType w:val="hybridMultilevel"/>
    <w:tmpl w:val="0C044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076364">
    <w:abstractNumId w:val="29"/>
  </w:num>
  <w:num w:numId="2" w16cid:durableId="1183787871">
    <w:abstractNumId w:val="30"/>
  </w:num>
  <w:num w:numId="3" w16cid:durableId="1141314337">
    <w:abstractNumId w:val="14"/>
  </w:num>
  <w:num w:numId="4" w16cid:durableId="1379208415">
    <w:abstractNumId w:val="23"/>
  </w:num>
  <w:num w:numId="5" w16cid:durableId="619074007">
    <w:abstractNumId w:val="31"/>
  </w:num>
  <w:num w:numId="6" w16cid:durableId="1199777161">
    <w:abstractNumId w:val="26"/>
  </w:num>
  <w:num w:numId="7" w16cid:durableId="1272014794">
    <w:abstractNumId w:val="7"/>
  </w:num>
  <w:num w:numId="8" w16cid:durableId="450055126">
    <w:abstractNumId w:val="32"/>
  </w:num>
  <w:num w:numId="9" w16cid:durableId="935988717">
    <w:abstractNumId w:val="8"/>
  </w:num>
  <w:num w:numId="10" w16cid:durableId="2139301319">
    <w:abstractNumId w:val="0"/>
  </w:num>
  <w:num w:numId="11" w16cid:durableId="329527432">
    <w:abstractNumId w:val="28"/>
  </w:num>
  <w:num w:numId="12" w16cid:durableId="1396317874">
    <w:abstractNumId w:val="25"/>
  </w:num>
  <w:num w:numId="13" w16cid:durableId="699474186">
    <w:abstractNumId w:val="22"/>
  </w:num>
  <w:num w:numId="14" w16cid:durableId="1538857498">
    <w:abstractNumId w:val="2"/>
  </w:num>
  <w:num w:numId="15" w16cid:durableId="2089958750">
    <w:abstractNumId w:val="4"/>
  </w:num>
  <w:num w:numId="16" w16cid:durableId="2111465920">
    <w:abstractNumId w:val="11"/>
  </w:num>
  <w:num w:numId="17" w16cid:durableId="1605531595">
    <w:abstractNumId w:val="27"/>
  </w:num>
  <w:num w:numId="18" w16cid:durableId="459955397">
    <w:abstractNumId w:val="16"/>
  </w:num>
  <w:num w:numId="19" w16cid:durableId="1763867613">
    <w:abstractNumId w:val="5"/>
  </w:num>
  <w:num w:numId="20" w16cid:durableId="1420979935">
    <w:abstractNumId w:val="18"/>
  </w:num>
  <w:num w:numId="21" w16cid:durableId="849369565">
    <w:abstractNumId w:val="19"/>
  </w:num>
  <w:num w:numId="22" w16cid:durableId="984704984">
    <w:abstractNumId w:val="9"/>
  </w:num>
  <w:num w:numId="23" w16cid:durableId="273757956">
    <w:abstractNumId w:val="24"/>
  </w:num>
  <w:num w:numId="24" w16cid:durableId="863902728">
    <w:abstractNumId w:val="6"/>
  </w:num>
  <w:num w:numId="25" w16cid:durableId="719744597">
    <w:abstractNumId w:val="33"/>
  </w:num>
  <w:num w:numId="26" w16cid:durableId="1337461581">
    <w:abstractNumId w:val="13"/>
  </w:num>
  <w:num w:numId="27" w16cid:durableId="807551584">
    <w:abstractNumId w:val="12"/>
  </w:num>
  <w:num w:numId="28" w16cid:durableId="86851091">
    <w:abstractNumId w:val="10"/>
  </w:num>
  <w:num w:numId="29" w16cid:durableId="1112364734">
    <w:abstractNumId w:val="3"/>
  </w:num>
  <w:num w:numId="30" w16cid:durableId="439492150">
    <w:abstractNumId w:val="15"/>
  </w:num>
  <w:num w:numId="31" w16cid:durableId="1096514366">
    <w:abstractNumId w:val="21"/>
  </w:num>
  <w:num w:numId="32" w16cid:durableId="1535801018">
    <w:abstractNumId w:val="1"/>
  </w:num>
  <w:num w:numId="33" w16cid:durableId="1468475449">
    <w:abstractNumId w:val="17"/>
  </w:num>
  <w:num w:numId="34" w16cid:durableId="12621788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A6A"/>
    <w:rsid w:val="00027138"/>
    <w:rsid w:val="00060A6A"/>
    <w:rsid w:val="0008001B"/>
    <w:rsid w:val="000A23ED"/>
    <w:rsid w:val="000B5D0C"/>
    <w:rsid w:val="000B6945"/>
    <w:rsid w:val="000D1DBB"/>
    <w:rsid w:val="000D521C"/>
    <w:rsid w:val="000D67E9"/>
    <w:rsid w:val="00113661"/>
    <w:rsid w:val="001916DC"/>
    <w:rsid w:val="00193148"/>
    <w:rsid w:val="001A2829"/>
    <w:rsid w:val="001C359B"/>
    <w:rsid w:val="001C7157"/>
    <w:rsid w:val="00201FD2"/>
    <w:rsid w:val="00235246"/>
    <w:rsid w:val="00246721"/>
    <w:rsid w:val="00274E5B"/>
    <w:rsid w:val="0029092A"/>
    <w:rsid w:val="002944B1"/>
    <w:rsid w:val="002B0A49"/>
    <w:rsid w:val="002D5FDA"/>
    <w:rsid w:val="002E17B9"/>
    <w:rsid w:val="002F5A69"/>
    <w:rsid w:val="0031275C"/>
    <w:rsid w:val="003309ED"/>
    <w:rsid w:val="00330CA1"/>
    <w:rsid w:val="00333184"/>
    <w:rsid w:val="00354383"/>
    <w:rsid w:val="003B7434"/>
    <w:rsid w:val="003C4018"/>
    <w:rsid w:val="003C6C94"/>
    <w:rsid w:val="003E01CD"/>
    <w:rsid w:val="00400BC4"/>
    <w:rsid w:val="00431759"/>
    <w:rsid w:val="004515A9"/>
    <w:rsid w:val="00471C08"/>
    <w:rsid w:val="00472884"/>
    <w:rsid w:val="004815F0"/>
    <w:rsid w:val="00481971"/>
    <w:rsid w:val="00495EE8"/>
    <w:rsid w:val="004B553D"/>
    <w:rsid w:val="00532DB6"/>
    <w:rsid w:val="0056260D"/>
    <w:rsid w:val="005C6C38"/>
    <w:rsid w:val="005E4E33"/>
    <w:rsid w:val="005F66F9"/>
    <w:rsid w:val="005F6F12"/>
    <w:rsid w:val="005F7838"/>
    <w:rsid w:val="00663831"/>
    <w:rsid w:val="007039CE"/>
    <w:rsid w:val="00715800"/>
    <w:rsid w:val="007422AB"/>
    <w:rsid w:val="00772633"/>
    <w:rsid w:val="007F3CDF"/>
    <w:rsid w:val="008016E4"/>
    <w:rsid w:val="008042BD"/>
    <w:rsid w:val="008117E8"/>
    <w:rsid w:val="00814FBA"/>
    <w:rsid w:val="00817FD7"/>
    <w:rsid w:val="008C5E51"/>
    <w:rsid w:val="008D6F32"/>
    <w:rsid w:val="00903AF0"/>
    <w:rsid w:val="0094330E"/>
    <w:rsid w:val="009447D8"/>
    <w:rsid w:val="00950B6D"/>
    <w:rsid w:val="009521BC"/>
    <w:rsid w:val="00977E66"/>
    <w:rsid w:val="009B136A"/>
    <w:rsid w:val="009D23AE"/>
    <w:rsid w:val="009D243A"/>
    <w:rsid w:val="009D2A7B"/>
    <w:rsid w:val="009E4E0C"/>
    <w:rsid w:val="00A06227"/>
    <w:rsid w:val="00A148FE"/>
    <w:rsid w:val="00A414AA"/>
    <w:rsid w:val="00A42071"/>
    <w:rsid w:val="00A963E8"/>
    <w:rsid w:val="00AA0169"/>
    <w:rsid w:val="00AB1A67"/>
    <w:rsid w:val="00AC31B9"/>
    <w:rsid w:val="00AE77F7"/>
    <w:rsid w:val="00AF70FC"/>
    <w:rsid w:val="00B15F8C"/>
    <w:rsid w:val="00B24DD4"/>
    <w:rsid w:val="00BB4EB1"/>
    <w:rsid w:val="00BB5C97"/>
    <w:rsid w:val="00BC494D"/>
    <w:rsid w:val="00BD4B96"/>
    <w:rsid w:val="00BF65B0"/>
    <w:rsid w:val="00BF7F46"/>
    <w:rsid w:val="00C02A9B"/>
    <w:rsid w:val="00C23DFD"/>
    <w:rsid w:val="00C7394E"/>
    <w:rsid w:val="00C74B98"/>
    <w:rsid w:val="00C82227"/>
    <w:rsid w:val="00C94320"/>
    <w:rsid w:val="00CE166E"/>
    <w:rsid w:val="00D80458"/>
    <w:rsid w:val="00D82E28"/>
    <w:rsid w:val="00D97442"/>
    <w:rsid w:val="00DD4A30"/>
    <w:rsid w:val="00E40F91"/>
    <w:rsid w:val="00E55C07"/>
    <w:rsid w:val="00E605B5"/>
    <w:rsid w:val="00E77DA9"/>
    <w:rsid w:val="00E812D3"/>
    <w:rsid w:val="00F31F65"/>
    <w:rsid w:val="00F87094"/>
    <w:rsid w:val="00FD6143"/>
    <w:rsid w:val="00FE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78A21"/>
  <w15:docId w15:val="{E719B71F-B031-42AD-8E4E-43F50A4A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sid w:val="00715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qFormat/>
    <w:rsid w:val="00715800"/>
    <w:pPr>
      <w:ind w:left="20"/>
    </w:pPr>
    <w:rPr>
      <w:rFonts w:cs="Times New Roman"/>
    </w:rPr>
  </w:style>
  <w:style w:type="character" w:customStyle="1" w:styleId="SzvegtrzsChar">
    <w:name w:val="Szövegtörzs Char"/>
    <w:basedOn w:val="Bekezdsalapbettpusa"/>
    <w:link w:val="Szvegtrzs"/>
    <w:uiPriority w:val="99"/>
    <w:rsid w:val="00715800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15800"/>
    <w:rPr>
      <w:rFonts w:cs="Times New Roman"/>
    </w:rPr>
  </w:style>
  <w:style w:type="paragraph" w:customStyle="1" w:styleId="TableParagraph">
    <w:name w:val="Table Paragraph"/>
    <w:basedOn w:val="Norml"/>
    <w:uiPriority w:val="1"/>
    <w:qFormat/>
    <w:rsid w:val="00715800"/>
    <w:rPr>
      <w:rFonts w:cs="Times New Roman"/>
    </w:rPr>
  </w:style>
  <w:style w:type="paragraph" w:styleId="lfej">
    <w:name w:val="header"/>
    <w:basedOn w:val="Norml"/>
    <w:link w:val="lfejChar"/>
    <w:uiPriority w:val="99"/>
    <w:unhideWhenUsed/>
    <w:rsid w:val="00060A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0A6A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060A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0A6A"/>
    <w:rPr>
      <w:rFonts w:ascii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60A6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0A6A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uiPriority w:val="99"/>
    <w:semiHidden/>
    <w:unhideWhenUsed/>
    <w:rsid w:val="00DD4A30"/>
  </w:style>
  <w:style w:type="table" w:styleId="Rcsostblzat">
    <w:name w:val="Table Grid"/>
    <w:basedOn w:val="Normltblzat"/>
    <w:uiPriority w:val="39"/>
    <w:rsid w:val="00C02A9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471C08"/>
    <w:rPr>
      <w:color w:val="0000FF" w:themeColor="hyperlink"/>
      <w:u w:val="single"/>
    </w:rPr>
  </w:style>
  <w:style w:type="paragraph" w:customStyle="1" w:styleId="S1">
    <w:name w:val="S1"/>
    <w:qFormat/>
    <w:rsid w:val="000B6945"/>
    <w:pPr>
      <w:tabs>
        <w:tab w:val="num" w:pos="562"/>
      </w:tabs>
      <w:spacing w:before="120" w:after="120" w:line="240" w:lineRule="auto"/>
      <w:ind w:left="562" w:hanging="562"/>
      <w:jc w:val="both"/>
    </w:pPr>
    <w:rPr>
      <w:rFonts w:ascii="Garamond" w:eastAsia="Times New Roman" w:hAnsi="Garamond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788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Óvári Gergő</dc:creator>
  <cp:lastModifiedBy>Pettner Adrienn</cp:lastModifiedBy>
  <cp:revision>2</cp:revision>
  <dcterms:created xsi:type="dcterms:W3CDTF">2024-12-17T08:49:00Z</dcterms:created>
  <dcterms:modified xsi:type="dcterms:W3CDTF">2024-12-17T08:49:00Z</dcterms:modified>
</cp:coreProperties>
</file>